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479"/>
      </w:tblGrid>
      <w:tr w:rsidR="00B60B3E" w:rsidTr="00717957">
        <w:tc>
          <w:tcPr>
            <w:tcW w:w="7479" w:type="dxa"/>
          </w:tcPr>
          <w:p w:rsidR="00B60B3E" w:rsidRDefault="00B60B3E">
            <w:pPr>
              <w:ind w:left="-7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B5F4441" wp14:editId="30CA3294">
                  <wp:extent cx="4705350" cy="419100"/>
                  <wp:effectExtent l="0" t="0" r="0" b="0"/>
                  <wp:docPr id="1" name="Picture 1" descr="Kimberley DGP Letterhead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mberley DGP Letterhead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B3E" w:rsidRDefault="00B60B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E56A389" wp14:editId="7CCC710B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66040</wp:posOffset>
                  </wp:positionV>
                  <wp:extent cx="1038225" cy="1247775"/>
                  <wp:effectExtent l="0" t="0" r="9525" b="9525"/>
                  <wp:wrapTopAndBottom/>
                  <wp:docPr id="3" name="Picture 2" descr="Boab Health Services Colour logo with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ab Health Services Colour logo with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50" t="13101" r="10979" b="9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6E2D" w:rsidRDefault="007C791F" w:rsidP="00A709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Mental Health Professional</w:t>
            </w:r>
            <w:r w:rsidR="00D52DD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7C791F" w:rsidRDefault="00D52DDE" w:rsidP="005A6E2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2D0DB6">
              <w:rPr>
                <w:rFonts w:ascii="Century Gothic" w:hAnsi="Century Gothic"/>
                <w:b/>
                <w:sz w:val="20"/>
                <w:szCs w:val="20"/>
              </w:rPr>
              <w:t>FTE</w:t>
            </w:r>
            <w:r w:rsidR="005A6E2D">
              <w:rPr>
                <w:rFonts w:ascii="Century Gothic" w:hAnsi="Century Gothic"/>
                <w:b/>
                <w:sz w:val="20"/>
                <w:szCs w:val="20"/>
              </w:rPr>
              <w:t xml:space="preserve"> – Negotiable up to 1 FTE</w:t>
            </w:r>
            <w:r w:rsidR="002D0DB6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6F15CE" w:rsidRDefault="00A52297" w:rsidP="006F15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Adults, </w:t>
            </w:r>
            <w:r w:rsidR="00927C57">
              <w:rPr>
                <w:rFonts w:ascii="Century Gothic" w:hAnsi="Century Gothic"/>
                <w:b/>
                <w:sz w:val="20"/>
                <w:szCs w:val="20"/>
              </w:rPr>
              <w:t xml:space="preserve">Youth </w:t>
            </w:r>
            <w:r w:rsidR="006F15CE">
              <w:rPr>
                <w:rFonts w:ascii="Century Gothic" w:hAnsi="Century Gothic"/>
                <w:b/>
                <w:sz w:val="20"/>
                <w:szCs w:val="20"/>
              </w:rPr>
              <w:t>&amp; Families</w:t>
            </w:r>
          </w:p>
          <w:p w:rsidR="00B60B3E" w:rsidRDefault="00ED1AEE" w:rsidP="006F15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Kununurra</w:t>
            </w:r>
            <w:r w:rsidR="003B733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63ECD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East</w:t>
            </w:r>
            <w:r w:rsidR="002305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63ECD">
              <w:rPr>
                <w:rFonts w:ascii="Century Gothic" w:hAnsi="Century Gothic"/>
                <w:b/>
                <w:sz w:val="20"/>
                <w:szCs w:val="20"/>
              </w:rPr>
              <w:t>Kimberley</w:t>
            </w:r>
            <w:r w:rsidR="00B60B3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60B3E" w:rsidRDefault="001539B8" w:rsidP="006F15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($</w:t>
            </w:r>
            <w:r w:rsidR="006F15CE">
              <w:rPr>
                <w:rFonts w:ascii="Century Gothic" w:hAnsi="Century Gothic"/>
                <w:b/>
                <w:sz w:val="20"/>
                <w:szCs w:val="20"/>
              </w:rPr>
              <w:t>95,744</w:t>
            </w:r>
            <w:r w:rsidR="0071795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="00A4586D">
              <w:rPr>
                <w:rFonts w:ascii="Century Gothic" w:hAnsi="Century Gothic"/>
                <w:b/>
                <w:sz w:val="20"/>
                <w:szCs w:val="20"/>
              </w:rPr>
              <w:t xml:space="preserve"> $</w:t>
            </w:r>
            <w:r w:rsidR="000F3BDF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6F15CE">
              <w:rPr>
                <w:rFonts w:ascii="Century Gothic" w:hAnsi="Century Gothic"/>
                <w:b/>
                <w:sz w:val="20"/>
                <w:szCs w:val="20"/>
              </w:rPr>
              <w:t>2,925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7B3360" w:rsidRDefault="007B33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C15BA" w:rsidRDefault="007B3360" w:rsidP="007B336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u</w:t>
            </w:r>
            <w:r w:rsidR="00DA3E59">
              <w:rPr>
                <w:rFonts w:ascii="Century Gothic" w:hAnsi="Century Gothic"/>
                <w:sz w:val="20"/>
                <w:szCs w:val="20"/>
              </w:rPr>
              <w:t>nique and</w:t>
            </w:r>
            <w:r w:rsidR="00B60B3E">
              <w:rPr>
                <w:rFonts w:ascii="Century Gothic" w:hAnsi="Century Gothic"/>
                <w:sz w:val="20"/>
                <w:szCs w:val="20"/>
              </w:rPr>
              <w:t xml:space="preserve"> exciting opportunit</w:t>
            </w:r>
            <w:r>
              <w:rPr>
                <w:rFonts w:ascii="Century Gothic" w:hAnsi="Century Gothic"/>
                <w:sz w:val="20"/>
                <w:szCs w:val="20"/>
              </w:rPr>
              <w:t>y</w:t>
            </w:r>
            <w:r w:rsidR="00D155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0B3E">
              <w:rPr>
                <w:rFonts w:ascii="Century Gothic" w:hAnsi="Century Gothic"/>
                <w:sz w:val="20"/>
                <w:szCs w:val="20"/>
              </w:rPr>
              <w:t>exist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B60B3E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 </w:t>
            </w:r>
            <w:r w:rsidR="00B60B3E">
              <w:rPr>
                <w:rFonts w:ascii="Century Gothic" w:hAnsi="Century Gothic"/>
                <w:sz w:val="20"/>
                <w:szCs w:val="20"/>
              </w:rPr>
              <w:t xml:space="preserve">experienced </w:t>
            </w:r>
            <w:r w:rsidR="00326527">
              <w:rPr>
                <w:rFonts w:ascii="Century Gothic" w:hAnsi="Century Gothic"/>
                <w:sz w:val="20"/>
                <w:szCs w:val="20"/>
              </w:rPr>
              <w:t xml:space="preserve">Mental Health Professional </w:t>
            </w:r>
            <w:r w:rsidR="000F3BDF" w:rsidRPr="000F3BDF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326527" w:rsidRPr="000F3BDF">
              <w:rPr>
                <w:rFonts w:ascii="Century Gothic" w:hAnsi="Century Gothic"/>
                <w:b/>
                <w:sz w:val="20"/>
                <w:szCs w:val="20"/>
              </w:rPr>
              <w:t>i.e.</w:t>
            </w:r>
            <w:r w:rsidR="003265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26527" w:rsidRPr="006F6783">
              <w:rPr>
                <w:rFonts w:ascii="Century Gothic" w:hAnsi="Century Gothic"/>
                <w:b/>
                <w:sz w:val="20"/>
                <w:szCs w:val="20"/>
              </w:rPr>
              <w:t>Psychologist</w:t>
            </w:r>
            <w:r w:rsidR="00D52DDE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326527" w:rsidRPr="006F6783">
              <w:rPr>
                <w:rFonts w:ascii="Century Gothic" w:hAnsi="Century Gothic"/>
                <w:b/>
                <w:sz w:val="20"/>
                <w:szCs w:val="20"/>
              </w:rPr>
              <w:t>, Mental Health Nurse</w:t>
            </w:r>
            <w:r w:rsidR="00BB70BE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326527" w:rsidRPr="006F6783">
              <w:rPr>
                <w:rFonts w:ascii="Century Gothic" w:hAnsi="Century Gothic"/>
                <w:b/>
                <w:sz w:val="20"/>
                <w:szCs w:val="20"/>
              </w:rPr>
              <w:t>, Social Worker</w:t>
            </w:r>
            <w:r w:rsidR="00BB70BE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326527" w:rsidRPr="006F6783">
              <w:rPr>
                <w:rFonts w:ascii="Century Gothic" w:hAnsi="Century Gothic"/>
                <w:b/>
                <w:sz w:val="20"/>
                <w:szCs w:val="20"/>
              </w:rPr>
              <w:t>, Occupational Therapist</w:t>
            </w:r>
            <w:r w:rsidR="00BB70BE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326527" w:rsidRPr="006F6783">
              <w:rPr>
                <w:rFonts w:ascii="Century Gothic" w:hAnsi="Century Gothic"/>
                <w:b/>
                <w:sz w:val="20"/>
                <w:szCs w:val="20"/>
              </w:rPr>
              <w:t xml:space="preserve"> or Aboriginal Health Worker</w:t>
            </w:r>
            <w:r w:rsidR="00BB70BE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0F3BDF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326527">
              <w:rPr>
                <w:rFonts w:ascii="Century Gothic" w:hAnsi="Century Gothic"/>
                <w:sz w:val="20"/>
                <w:szCs w:val="20"/>
              </w:rPr>
              <w:t xml:space="preserve"> to join our Mental Health Team. We are seeking professional</w:t>
            </w:r>
            <w:r w:rsidR="00A709C5">
              <w:rPr>
                <w:rFonts w:ascii="Century Gothic" w:hAnsi="Century Gothic"/>
                <w:sz w:val="20"/>
                <w:szCs w:val="20"/>
              </w:rPr>
              <w:t>s</w:t>
            </w:r>
            <w:r w:rsidR="00326527">
              <w:rPr>
                <w:rFonts w:ascii="Century Gothic" w:hAnsi="Century Gothic"/>
                <w:sz w:val="20"/>
                <w:szCs w:val="20"/>
              </w:rPr>
              <w:t xml:space="preserve"> who </w:t>
            </w:r>
            <w:r w:rsidR="00A709C5"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 w:rsidR="00326527">
              <w:rPr>
                <w:rFonts w:ascii="Century Gothic" w:hAnsi="Century Gothic"/>
                <w:sz w:val="20"/>
                <w:szCs w:val="20"/>
              </w:rPr>
              <w:t xml:space="preserve">committed to the delivery of quality Psychological services that meet the mental health needs of our client base in a culturally respectful manner. </w:t>
            </w:r>
          </w:p>
          <w:p w:rsidR="00326527" w:rsidRPr="00717957" w:rsidRDefault="00326527" w:rsidP="00EC15B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A63ECD" w:rsidRPr="00927193" w:rsidRDefault="009A118C" w:rsidP="009D21B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04BD1">
              <w:rPr>
                <w:rFonts w:ascii="Century Gothic" w:hAnsi="Century Gothic"/>
                <w:sz w:val="20"/>
                <w:szCs w:val="20"/>
              </w:rPr>
              <w:t>This position</w:t>
            </w:r>
            <w:r w:rsidR="009D21B7" w:rsidRPr="00504BD1">
              <w:rPr>
                <w:rFonts w:ascii="Century Gothic" w:hAnsi="Century Gothic"/>
                <w:sz w:val="20"/>
                <w:szCs w:val="20"/>
              </w:rPr>
              <w:t>’s primary f</w:t>
            </w:r>
            <w:r w:rsidRPr="00504BD1">
              <w:rPr>
                <w:rFonts w:ascii="Century Gothic" w:hAnsi="Century Gothic"/>
                <w:sz w:val="20"/>
                <w:szCs w:val="20"/>
              </w:rPr>
              <w:t xml:space="preserve">ocus </w:t>
            </w:r>
            <w:r w:rsidR="009D21B7" w:rsidRPr="00504BD1">
              <w:rPr>
                <w:rFonts w:ascii="Century Gothic" w:hAnsi="Century Gothic"/>
                <w:sz w:val="20"/>
                <w:szCs w:val="20"/>
              </w:rPr>
              <w:t>will be i</w:t>
            </w:r>
            <w:r w:rsidRPr="00504BD1">
              <w:rPr>
                <w:rFonts w:ascii="Century Gothic" w:hAnsi="Century Gothic"/>
                <w:sz w:val="20"/>
                <w:szCs w:val="20"/>
              </w:rPr>
              <w:t>n the provision of services to youth with complex mental health issues</w:t>
            </w:r>
            <w:r w:rsidR="009D21B7" w:rsidRPr="00504BD1">
              <w:rPr>
                <w:rFonts w:ascii="Century Gothic" w:hAnsi="Century Gothic"/>
                <w:sz w:val="20"/>
                <w:szCs w:val="20"/>
              </w:rPr>
              <w:t xml:space="preserve">.  Additionally, it will work across the lifespan providing services to families and adults.  </w:t>
            </w:r>
            <w:r w:rsidR="00D52DDE" w:rsidRPr="00504BD1">
              <w:rPr>
                <w:rFonts w:ascii="Century Gothic" w:hAnsi="Century Gothic"/>
                <w:sz w:val="20"/>
                <w:szCs w:val="20"/>
              </w:rPr>
              <w:t>The</w:t>
            </w:r>
            <w:r w:rsidR="00A63ECD" w:rsidRPr="00504BD1">
              <w:rPr>
                <w:rFonts w:ascii="Century Gothic" w:hAnsi="Century Gothic"/>
                <w:sz w:val="20"/>
                <w:szCs w:val="20"/>
              </w:rPr>
              <w:t xml:space="preserve"> position</w:t>
            </w:r>
            <w:r w:rsidR="00A709C5" w:rsidRPr="00504BD1">
              <w:rPr>
                <w:rFonts w:ascii="Century Gothic" w:hAnsi="Century Gothic"/>
                <w:sz w:val="20"/>
                <w:szCs w:val="20"/>
              </w:rPr>
              <w:t xml:space="preserve"> will be based </w:t>
            </w:r>
            <w:r w:rsidR="00D1557D" w:rsidRPr="00504BD1">
              <w:rPr>
                <w:rFonts w:ascii="Century Gothic" w:hAnsi="Century Gothic"/>
                <w:sz w:val="20"/>
                <w:szCs w:val="20"/>
              </w:rPr>
              <w:t xml:space="preserve">the township of </w:t>
            </w:r>
            <w:r w:rsidR="00A709C5" w:rsidRPr="00504BD1">
              <w:rPr>
                <w:rFonts w:ascii="Century Gothic" w:hAnsi="Century Gothic"/>
                <w:sz w:val="20"/>
                <w:szCs w:val="20"/>
              </w:rPr>
              <w:t>Kununurra</w:t>
            </w:r>
            <w:r w:rsidR="007B3360" w:rsidRPr="00504BD1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A63ECD" w:rsidRPr="00504BD1">
              <w:rPr>
                <w:rFonts w:ascii="Century Gothic" w:hAnsi="Century Gothic"/>
                <w:sz w:val="20"/>
                <w:szCs w:val="20"/>
              </w:rPr>
              <w:t xml:space="preserve">provide </w:t>
            </w:r>
            <w:r w:rsidR="00D1557D" w:rsidRPr="00504BD1">
              <w:rPr>
                <w:rFonts w:ascii="Century Gothic" w:hAnsi="Century Gothic"/>
                <w:sz w:val="20"/>
                <w:szCs w:val="20"/>
              </w:rPr>
              <w:t xml:space="preserve">outreach </w:t>
            </w:r>
            <w:r w:rsidR="00BA1FAD">
              <w:rPr>
                <w:rFonts w:ascii="Century Gothic" w:hAnsi="Century Gothic"/>
                <w:sz w:val="20"/>
                <w:szCs w:val="20"/>
              </w:rPr>
              <w:t xml:space="preserve">Mental Health </w:t>
            </w:r>
            <w:r w:rsidR="00A63ECD" w:rsidRPr="00927193">
              <w:rPr>
                <w:rFonts w:ascii="Century Gothic" w:hAnsi="Century Gothic"/>
                <w:sz w:val="20"/>
                <w:szCs w:val="20"/>
              </w:rPr>
              <w:t>service</w:t>
            </w:r>
            <w:r w:rsidR="007B3360">
              <w:rPr>
                <w:rFonts w:ascii="Century Gothic" w:hAnsi="Century Gothic"/>
                <w:sz w:val="20"/>
                <w:szCs w:val="20"/>
              </w:rPr>
              <w:t>s</w:t>
            </w:r>
            <w:r w:rsidR="00A709C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63ECD" w:rsidRPr="00927193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0F3BDF">
              <w:rPr>
                <w:rFonts w:ascii="Century Gothic" w:hAnsi="Century Gothic"/>
                <w:sz w:val="20"/>
                <w:szCs w:val="20"/>
              </w:rPr>
              <w:t>remote communities</w:t>
            </w:r>
            <w:r w:rsidR="007B3360">
              <w:rPr>
                <w:rFonts w:ascii="Century Gothic" w:hAnsi="Century Gothic"/>
                <w:sz w:val="20"/>
                <w:szCs w:val="20"/>
              </w:rPr>
              <w:t xml:space="preserve"> in the East Kimberley</w:t>
            </w:r>
            <w:r w:rsidR="00A709C5">
              <w:rPr>
                <w:rFonts w:ascii="Century Gothic" w:hAnsi="Century Gothic"/>
                <w:sz w:val="20"/>
                <w:szCs w:val="20"/>
              </w:rPr>
              <w:t>.</w:t>
            </w:r>
            <w:r w:rsidR="00A63ECD" w:rsidRPr="009271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52DDE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A63ECD" w:rsidRPr="00927193">
              <w:rPr>
                <w:rFonts w:ascii="Century Gothic" w:hAnsi="Century Gothic"/>
                <w:sz w:val="20"/>
                <w:szCs w:val="20"/>
              </w:rPr>
              <w:t xml:space="preserve">position </w:t>
            </w:r>
            <w:r w:rsidR="00A709C5">
              <w:rPr>
                <w:rFonts w:ascii="Century Gothic" w:hAnsi="Century Gothic"/>
                <w:sz w:val="20"/>
                <w:szCs w:val="20"/>
              </w:rPr>
              <w:t xml:space="preserve">will </w:t>
            </w:r>
            <w:r w:rsidR="00A63ECD" w:rsidRPr="00927193">
              <w:rPr>
                <w:rFonts w:ascii="Century Gothic" w:hAnsi="Century Gothic"/>
                <w:sz w:val="20"/>
                <w:szCs w:val="20"/>
              </w:rPr>
              <w:t xml:space="preserve">work in partnership with local Aboriginal Health Services, WA State Health Services and other community based organisations. </w:t>
            </w:r>
          </w:p>
          <w:p w:rsidR="00A63ECD" w:rsidRPr="00DA3E59" w:rsidRDefault="00A63ECD" w:rsidP="00A63ECD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63ECD" w:rsidRDefault="00BA1FAD" w:rsidP="006F15CE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 will have </w:t>
            </w:r>
            <w:r w:rsidR="00B13427">
              <w:rPr>
                <w:rFonts w:ascii="Century Gothic" w:hAnsi="Century Gothic"/>
                <w:sz w:val="20"/>
                <w:szCs w:val="20"/>
              </w:rPr>
              <w:t>post-</w:t>
            </w:r>
            <w:r>
              <w:rPr>
                <w:rFonts w:ascii="Century Gothic" w:hAnsi="Century Gothic"/>
                <w:sz w:val="20"/>
                <w:szCs w:val="20"/>
              </w:rPr>
              <w:t>regist</w:t>
            </w:r>
            <w:r w:rsidR="00927C57">
              <w:rPr>
                <w:rFonts w:ascii="Century Gothic" w:hAnsi="Century Gothic"/>
                <w:sz w:val="20"/>
                <w:szCs w:val="20"/>
              </w:rPr>
              <w:t>ration experience in providing evidence based psychological interventions to youth</w:t>
            </w:r>
            <w:r w:rsidR="009D21B7" w:rsidRPr="00504BD1">
              <w:rPr>
                <w:rFonts w:ascii="Century Gothic" w:hAnsi="Century Gothic"/>
                <w:color w:val="auto"/>
                <w:sz w:val="20"/>
                <w:szCs w:val="20"/>
              </w:rPr>
              <w:t>/adults</w:t>
            </w:r>
            <w:r w:rsidR="00927C57" w:rsidRPr="00504BD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927C57">
              <w:rPr>
                <w:rFonts w:ascii="Century Gothic" w:hAnsi="Century Gothic"/>
                <w:sz w:val="20"/>
                <w:szCs w:val="20"/>
              </w:rPr>
              <w:t xml:space="preserve">with complex </w:t>
            </w:r>
            <w:r>
              <w:rPr>
                <w:rFonts w:ascii="Century Gothic" w:hAnsi="Century Gothic"/>
                <w:sz w:val="20"/>
                <w:szCs w:val="20"/>
              </w:rPr>
              <w:t>mental health issues and be able to provide suicide prevention services within your role.</w:t>
            </w:r>
            <w:r w:rsidR="00A63ECD" w:rsidRPr="009271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A118C">
              <w:rPr>
                <w:rFonts w:ascii="Century Gothic" w:hAnsi="Century Gothic"/>
                <w:sz w:val="20"/>
                <w:szCs w:val="20"/>
              </w:rPr>
              <w:t>This position will also provide</w:t>
            </w:r>
            <w:r w:rsidR="006F15CE">
              <w:rPr>
                <w:rFonts w:ascii="Century Gothic" w:hAnsi="Century Gothic"/>
                <w:sz w:val="20"/>
                <w:szCs w:val="20"/>
              </w:rPr>
              <w:t xml:space="preserve"> support to families of the youth/adults. </w:t>
            </w:r>
            <w:r w:rsidR="009A118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Your experience, passion, energy and enthusiasm towards Aboriginal</w:t>
            </w:r>
            <w:r w:rsidR="00EC15BA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rural and preventative </w:t>
            </w:r>
            <w:r w:rsidR="00EC15BA">
              <w:rPr>
                <w:rFonts w:ascii="Century Gothic" w:hAnsi="Century Gothic"/>
                <w:sz w:val="20"/>
                <w:szCs w:val="20"/>
              </w:rPr>
              <w:t xml:space="preserve">mental </w:t>
            </w:r>
            <w:r>
              <w:rPr>
                <w:rFonts w:ascii="Century Gothic" w:hAnsi="Century Gothic"/>
                <w:sz w:val="20"/>
                <w:szCs w:val="20"/>
              </w:rPr>
              <w:t>health</w:t>
            </w:r>
            <w:r w:rsidR="00EC15BA">
              <w:rPr>
                <w:rFonts w:ascii="Century Gothic" w:hAnsi="Century Gothic"/>
                <w:sz w:val="20"/>
                <w:szCs w:val="20"/>
              </w:rPr>
              <w:t xml:space="preserve"> care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will be highly regarded</w:t>
            </w:r>
            <w:r w:rsidR="007B3360">
              <w:rPr>
                <w:rFonts w:ascii="Century Gothic" w:hAnsi="Century Gothic"/>
                <w:sz w:val="20"/>
                <w:szCs w:val="20"/>
              </w:rPr>
              <w:t>.</w:t>
            </w:r>
            <w:r w:rsidR="00A709C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DA3E59" w:rsidRPr="00DA3E59" w:rsidRDefault="00DA3E59" w:rsidP="00A63ECD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DA3E59" w:rsidRDefault="00DA3E59" w:rsidP="00A63ECD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1AEE">
              <w:rPr>
                <w:rFonts w:ascii="Century Gothic" w:hAnsi="Century Gothic"/>
                <w:b/>
                <w:sz w:val="20"/>
                <w:szCs w:val="20"/>
              </w:rPr>
              <w:t>Benefits include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DA3E59" w:rsidRDefault="00DA3E59" w:rsidP="00DA3E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Relocation assistance (where applicable)</w:t>
            </w:r>
          </w:p>
          <w:p w:rsidR="00717957" w:rsidRPr="00717957" w:rsidRDefault="00DA3E59" w:rsidP="0071795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17957">
              <w:rPr>
                <w:rFonts w:ascii="Century Gothic" w:hAnsi="Century Gothic"/>
                <w:sz w:val="20"/>
                <w:szCs w:val="20"/>
              </w:rPr>
              <w:t>Salary packaging</w:t>
            </w:r>
            <w:r w:rsidR="00ED1AEE" w:rsidRPr="007179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7957" w:rsidRPr="00717957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options for remote living are </w:t>
            </w:r>
            <w:r w:rsidR="00717957" w:rsidRPr="00717957">
              <w:rPr>
                <w:rFonts w:ascii="Century Gothic" w:hAnsi="Century Gothic"/>
                <w:sz w:val="20"/>
                <w:szCs w:val="20"/>
              </w:rPr>
              <w:t>available</w:t>
            </w:r>
          </w:p>
          <w:p w:rsidR="00DA3E59" w:rsidRDefault="00717957" w:rsidP="00DA3E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17957">
              <w:rPr>
                <w:rFonts w:ascii="Century Gothic" w:hAnsi="Century Gothic"/>
                <w:b/>
                <w:sz w:val="20"/>
                <w:szCs w:val="20"/>
              </w:rPr>
              <w:t>Six</w:t>
            </w:r>
            <w:r w:rsidR="00ED1AEE">
              <w:rPr>
                <w:rFonts w:ascii="Century Gothic" w:hAnsi="Century Gothic"/>
                <w:sz w:val="20"/>
                <w:szCs w:val="20"/>
              </w:rPr>
              <w:t xml:space="preserve"> weeks annual leave</w:t>
            </w:r>
          </w:p>
          <w:p w:rsidR="00DA3E59" w:rsidRDefault="00DA3E59" w:rsidP="00DA3E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Professional development opportunities</w:t>
            </w:r>
          </w:p>
          <w:p w:rsidR="00DA3E59" w:rsidRDefault="009B4192" w:rsidP="00DA3E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Supported e</w:t>
            </w:r>
            <w:r w:rsidR="00DA3E59">
              <w:rPr>
                <w:rFonts w:ascii="Century Gothic" w:hAnsi="Century Gothic"/>
                <w:sz w:val="20"/>
                <w:szCs w:val="20"/>
              </w:rPr>
              <w:t>xternal supervision</w:t>
            </w:r>
          </w:p>
          <w:p w:rsidR="00A63ECD" w:rsidRPr="00927193" w:rsidRDefault="00A63ECD" w:rsidP="00A63ECD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60B3E" w:rsidRDefault="00B60B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 further information </w:t>
            </w:r>
            <w:r w:rsidR="00A63ECD">
              <w:rPr>
                <w:rFonts w:ascii="Century Gothic" w:hAnsi="Century Gothic"/>
                <w:sz w:val="20"/>
                <w:szCs w:val="20"/>
              </w:rPr>
              <w:t>and position description please access Boab’s website 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www.boabhealth.com.au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and go to </w:t>
            </w:r>
            <w:r w:rsidR="003B7331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A4586D">
              <w:rPr>
                <w:rFonts w:ascii="Century Gothic" w:hAnsi="Century Gothic"/>
                <w:b/>
                <w:sz w:val="20"/>
                <w:szCs w:val="20"/>
              </w:rPr>
              <w:t>positions vacant</w:t>
            </w:r>
            <w:r w:rsidR="003B7331">
              <w:rPr>
                <w:rFonts w:ascii="Century Gothic" w:hAnsi="Century Gothic"/>
                <w:b/>
                <w:sz w:val="20"/>
                <w:szCs w:val="20"/>
              </w:rPr>
              <w:t xml:space="preserve"> webpage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60B3E" w:rsidRPr="00717957" w:rsidRDefault="00B60B3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30535" w:rsidRDefault="003B7331" w:rsidP="005931F9">
            <w:pPr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Applicants must forward a response to the</w:t>
            </w:r>
            <w:r w:rsidR="00B60B3E">
              <w:rPr>
                <w:rFonts w:ascii="Century Gothic" w:hAnsi="Century Gothic"/>
                <w:b/>
                <w:sz w:val="20"/>
                <w:szCs w:val="20"/>
              </w:rPr>
              <w:t xml:space="preserve"> selection criteria </w:t>
            </w:r>
            <w:r w:rsidRPr="003B7331">
              <w:rPr>
                <w:rFonts w:ascii="Century Gothic" w:hAnsi="Century Gothic"/>
                <w:sz w:val="20"/>
                <w:szCs w:val="20"/>
              </w:rPr>
              <w:t>(located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60B3E">
              <w:rPr>
                <w:rFonts w:ascii="Century Gothic" w:hAnsi="Century Gothic"/>
                <w:sz w:val="20"/>
                <w:szCs w:val="20"/>
              </w:rPr>
              <w:t xml:space="preserve">within the </w:t>
            </w:r>
            <w:r w:rsidR="005931F9">
              <w:rPr>
                <w:rFonts w:ascii="Century Gothic" w:hAnsi="Century Gothic"/>
                <w:sz w:val="20"/>
                <w:szCs w:val="20"/>
              </w:rPr>
              <w:t xml:space="preserve">job </w:t>
            </w:r>
            <w:r w:rsidR="00B60B3E">
              <w:rPr>
                <w:rFonts w:ascii="Century Gothic" w:hAnsi="Century Gothic"/>
                <w:sz w:val="20"/>
                <w:szCs w:val="20"/>
              </w:rPr>
              <w:t>description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B60B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together with their </w:t>
            </w:r>
            <w:r w:rsidRPr="003B7331">
              <w:rPr>
                <w:rFonts w:ascii="Century Gothic" w:hAnsi="Century Gothic"/>
                <w:b/>
                <w:sz w:val="20"/>
                <w:szCs w:val="20"/>
              </w:rPr>
              <w:t>resume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the names of at least </w:t>
            </w:r>
            <w:r w:rsidRPr="003B7331">
              <w:rPr>
                <w:rFonts w:ascii="Century Gothic" w:hAnsi="Century Gothic"/>
                <w:b/>
                <w:sz w:val="20"/>
                <w:szCs w:val="20"/>
              </w:rPr>
              <w:t>two referees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 w:rsidR="00B60B3E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546011" w:rsidRPr="006D29A9">
                <w:rPr>
                  <w:rStyle w:val="Hyperlink"/>
                </w:rPr>
                <w:t>chris.phillips@boabhealth.com.au</w:t>
              </w:r>
            </w:hyperlink>
          </w:p>
          <w:p w:rsidR="007B3360" w:rsidRPr="00504BD1" w:rsidRDefault="007B3360" w:rsidP="007B3360">
            <w:pPr>
              <w:jc w:val="both"/>
              <w:rPr>
                <w:b/>
                <w:sz w:val="16"/>
                <w:szCs w:val="16"/>
              </w:rPr>
            </w:pPr>
          </w:p>
          <w:p w:rsidR="00504BD1" w:rsidRDefault="00230535" w:rsidP="006F15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B7331">
              <w:rPr>
                <w:b/>
              </w:rPr>
              <w:t>A</w:t>
            </w:r>
            <w:r w:rsidR="00B60B3E" w:rsidRPr="003B7331">
              <w:rPr>
                <w:rFonts w:ascii="Century Gothic" w:hAnsi="Century Gothic"/>
                <w:b/>
                <w:sz w:val="20"/>
                <w:szCs w:val="20"/>
              </w:rPr>
              <w:t>pplications close</w:t>
            </w:r>
            <w:r w:rsidR="00B60B3E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3B7331">
              <w:rPr>
                <w:rFonts w:ascii="Century Gothic" w:hAnsi="Century Gothic"/>
                <w:sz w:val="20"/>
                <w:szCs w:val="20"/>
              </w:rPr>
              <w:t xml:space="preserve">C.O.B.  </w:t>
            </w:r>
            <w:r w:rsidR="006F15CE">
              <w:rPr>
                <w:rFonts w:ascii="Century Gothic" w:hAnsi="Century Gothic"/>
                <w:sz w:val="20"/>
                <w:szCs w:val="20"/>
              </w:rPr>
              <w:t>16</w:t>
            </w:r>
            <w:r w:rsidR="00B60B3E">
              <w:rPr>
                <w:rFonts w:ascii="Century Gothic" w:hAnsi="Century Gothic"/>
                <w:sz w:val="20"/>
                <w:szCs w:val="20"/>
              </w:rPr>
              <w:t>/</w:t>
            </w:r>
            <w:r w:rsidR="00A272CD">
              <w:rPr>
                <w:rFonts w:ascii="Century Gothic" w:hAnsi="Century Gothic"/>
                <w:sz w:val="20"/>
                <w:szCs w:val="20"/>
              </w:rPr>
              <w:t>0</w:t>
            </w:r>
            <w:r w:rsidR="006F15CE">
              <w:rPr>
                <w:rFonts w:ascii="Century Gothic" w:hAnsi="Century Gothic"/>
                <w:sz w:val="20"/>
                <w:szCs w:val="20"/>
              </w:rPr>
              <w:t>7</w:t>
            </w:r>
            <w:r w:rsidR="00B60B3E">
              <w:rPr>
                <w:rFonts w:ascii="Century Gothic" w:hAnsi="Century Gothic"/>
                <w:sz w:val="20"/>
                <w:szCs w:val="20"/>
              </w:rPr>
              <w:t>/1</w:t>
            </w:r>
            <w:r w:rsidR="00A272CD">
              <w:rPr>
                <w:rFonts w:ascii="Century Gothic" w:hAnsi="Century Gothic"/>
                <w:sz w:val="20"/>
                <w:szCs w:val="20"/>
              </w:rPr>
              <w:t>8</w:t>
            </w:r>
            <w:r w:rsidR="00633D76">
              <w:rPr>
                <w:rFonts w:ascii="Century Gothic" w:hAnsi="Century Gothic"/>
                <w:sz w:val="20"/>
                <w:szCs w:val="20"/>
              </w:rPr>
              <w:t xml:space="preserve">.  We reserve the right to close off this position before the cut-off </w:t>
            </w:r>
            <w:r w:rsidR="00EC71A3">
              <w:rPr>
                <w:rFonts w:ascii="Century Gothic" w:hAnsi="Century Gothic"/>
                <w:sz w:val="20"/>
                <w:szCs w:val="20"/>
              </w:rPr>
              <w:t xml:space="preserve">date </w:t>
            </w:r>
            <w:r w:rsidR="00633D76">
              <w:rPr>
                <w:rFonts w:ascii="Century Gothic" w:hAnsi="Century Gothic"/>
                <w:sz w:val="20"/>
                <w:szCs w:val="20"/>
              </w:rPr>
              <w:t xml:space="preserve">should </w:t>
            </w:r>
            <w:r w:rsidR="00EC71A3">
              <w:rPr>
                <w:rFonts w:ascii="Century Gothic" w:hAnsi="Century Gothic"/>
                <w:sz w:val="20"/>
                <w:szCs w:val="20"/>
              </w:rPr>
              <w:t xml:space="preserve">we have </w:t>
            </w:r>
            <w:r w:rsidR="00633D76">
              <w:rPr>
                <w:rFonts w:ascii="Century Gothic" w:hAnsi="Century Gothic"/>
                <w:sz w:val="20"/>
                <w:szCs w:val="20"/>
              </w:rPr>
              <w:t xml:space="preserve">a suitable </w:t>
            </w:r>
            <w:r w:rsidR="00EC71A3">
              <w:rPr>
                <w:rFonts w:ascii="Century Gothic" w:hAnsi="Century Gothic"/>
                <w:sz w:val="20"/>
                <w:szCs w:val="20"/>
              </w:rPr>
              <w:t xml:space="preserve">pool of </w:t>
            </w:r>
            <w:r w:rsidR="00633D76">
              <w:rPr>
                <w:rFonts w:ascii="Century Gothic" w:hAnsi="Century Gothic"/>
                <w:sz w:val="20"/>
                <w:szCs w:val="20"/>
              </w:rPr>
              <w:t>applicant</w:t>
            </w:r>
            <w:r w:rsidR="00EC71A3">
              <w:rPr>
                <w:rFonts w:ascii="Century Gothic" w:hAnsi="Century Gothic"/>
                <w:sz w:val="20"/>
                <w:szCs w:val="20"/>
              </w:rPr>
              <w:t>s.</w:t>
            </w:r>
          </w:p>
          <w:p w:rsidR="006F15CE" w:rsidRDefault="006F15CE" w:rsidP="005E5F36">
            <w:pPr>
              <w:ind w:left="36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F496D" w:rsidRDefault="004F496D" w:rsidP="004F496D">
            <w:pPr>
              <w:ind w:left="36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Boab Health Services will not provide feedback to applicants who are not shortlisted.</w:t>
            </w:r>
          </w:p>
          <w:p w:rsidR="006F15CE" w:rsidRDefault="006F15CE" w:rsidP="005E5F36">
            <w:pPr>
              <w:ind w:left="36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B60B3E" w:rsidRDefault="00B60B3E" w:rsidP="005E5F3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Boab Health Services is an Equal Opportunity Employer who values and encourages diversity within its workforce </w:t>
            </w:r>
          </w:p>
        </w:tc>
      </w:tr>
    </w:tbl>
    <w:p w:rsidR="00B60B3E" w:rsidRDefault="00B60B3E" w:rsidP="00B60B3E"/>
    <w:p w:rsidR="00B97073" w:rsidRDefault="00B97073"/>
    <w:sectPr w:rsidR="00B97073" w:rsidSect="00717957"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599"/>
    <w:multiLevelType w:val="hybridMultilevel"/>
    <w:tmpl w:val="C7FCC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1598"/>
    <w:multiLevelType w:val="hybridMultilevel"/>
    <w:tmpl w:val="4B68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0A16AC"/>
    <w:rsid w:val="000B128A"/>
    <w:rsid w:val="000F3BDF"/>
    <w:rsid w:val="001539B8"/>
    <w:rsid w:val="00170018"/>
    <w:rsid w:val="00230535"/>
    <w:rsid w:val="00241C96"/>
    <w:rsid w:val="0026083D"/>
    <w:rsid w:val="002813AA"/>
    <w:rsid w:val="002D0DB6"/>
    <w:rsid w:val="00326527"/>
    <w:rsid w:val="003B7331"/>
    <w:rsid w:val="00484307"/>
    <w:rsid w:val="004A6788"/>
    <w:rsid w:val="004B0C74"/>
    <w:rsid w:val="004B2097"/>
    <w:rsid w:val="004E472E"/>
    <w:rsid w:val="004F496D"/>
    <w:rsid w:val="00504BD1"/>
    <w:rsid w:val="005410B9"/>
    <w:rsid w:val="00546011"/>
    <w:rsid w:val="00590763"/>
    <w:rsid w:val="005920BE"/>
    <w:rsid w:val="005931F9"/>
    <w:rsid w:val="005A6E2D"/>
    <w:rsid w:val="005D37C4"/>
    <w:rsid w:val="005E5F36"/>
    <w:rsid w:val="00614CE2"/>
    <w:rsid w:val="00633D76"/>
    <w:rsid w:val="00666548"/>
    <w:rsid w:val="00676D8F"/>
    <w:rsid w:val="006775A9"/>
    <w:rsid w:val="006B6306"/>
    <w:rsid w:val="006D0F9E"/>
    <w:rsid w:val="006E41F4"/>
    <w:rsid w:val="006F15CE"/>
    <w:rsid w:val="006F6783"/>
    <w:rsid w:val="006F7E05"/>
    <w:rsid w:val="00700233"/>
    <w:rsid w:val="00717957"/>
    <w:rsid w:val="00717B01"/>
    <w:rsid w:val="00744DDF"/>
    <w:rsid w:val="00751A6F"/>
    <w:rsid w:val="00753D3C"/>
    <w:rsid w:val="007B3360"/>
    <w:rsid w:val="007C791F"/>
    <w:rsid w:val="007E2B1D"/>
    <w:rsid w:val="00831049"/>
    <w:rsid w:val="00927C57"/>
    <w:rsid w:val="00996E73"/>
    <w:rsid w:val="009A118C"/>
    <w:rsid w:val="009B4192"/>
    <w:rsid w:val="009D21B7"/>
    <w:rsid w:val="00A272CD"/>
    <w:rsid w:val="00A4586D"/>
    <w:rsid w:val="00A52297"/>
    <w:rsid w:val="00A53788"/>
    <w:rsid w:val="00A63ECD"/>
    <w:rsid w:val="00A709C5"/>
    <w:rsid w:val="00A86738"/>
    <w:rsid w:val="00B13427"/>
    <w:rsid w:val="00B60B3E"/>
    <w:rsid w:val="00B6766A"/>
    <w:rsid w:val="00B7630D"/>
    <w:rsid w:val="00B97073"/>
    <w:rsid w:val="00BA1FAD"/>
    <w:rsid w:val="00BB1C23"/>
    <w:rsid w:val="00BB70BE"/>
    <w:rsid w:val="00BC2135"/>
    <w:rsid w:val="00C00857"/>
    <w:rsid w:val="00C26D79"/>
    <w:rsid w:val="00C5267B"/>
    <w:rsid w:val="00C712AB"/>
    <w:rsid w:val="00CE6CB4"/>
    <w:rsid w:val="00D13D36"/>
    <w:rsid w:val="00D1557D"/>
    <w:rsid w:val="00D52DDE"/>
    <w:rsid w:val="00D7425D"/>
    <w:rsid w:val="00DA3E59"/>
    <w:rsid w:val="00DF2511"/>
    <w:rsid w:val="00E054B6"/>
    <w:rsid w:val="00E67AF3"/>
    <w:rsid w:val="00EC15BA"/>
    <w:rsid w:val="00EC25A9"/>
    <w:rsid w:val="00EC71A3"/>
    <w:rsid w:val="00ED1AEE"/>
    <w:rsid w:val="00ED1C8B"/>
    <w:rsid w:val="00F023DF"/>
    <w:rsid w:val="00F21304"/>
    <w:rsid w:val="00F8237A"/>
    <w:rsid w:val="00FB0E3F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5F130-1C05-42CA-9AA6-A0C9524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0B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3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3E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phillips@boabhealth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abheal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Donna Brindley</cp:lastModifiedBy>
  <cp:revision>2</cp:revision>
  <cp:lastPrinted>2018-03-15T07:26:00Z</cp:lastPrinted>
  <dcterms:created xsi:type="dcterms:W3CDTF">2018-06-26T07:56:00Z</dcterms:created>
  <dcterms:modified xsi:type="dcterms:W3CDTF">2018-06-26T07:56:00Z</dcterms:modified>
</cp:coreProperties>
</file>