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175"/>
      </w:tblGrid>
      <w:tr w:rsidR="00B60B3E" w:rsidTr="003B1E0B">
        <w:tc>
          <w:tcPr>
            <w:tcW w:w="9175" w:type="dxa"/>
          </w:tcPr>
          <w:p w:rsidR="00B60B3E" w:rsidRDefault="00B60B3E">
            <w:pPr>
              <w:ind w:left="-7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5695950" cy="419100"/>
                  <wp:effectExtent l="19050" t="0" r="0" b="0"/>
                  <wp:docPr id="1" name="Picture 1" descr="Kimberley DGP Letterhead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mberley DGP Letterhead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B3E" w:rsidRDefault="00B60B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66040</wp:posOffset>
                  </wp:positionV>
                  <wp:extent cx="1038225" cy="1247775"/>
                  <wp:effectExtent l="19050" t="0" r="9525" b="0"/>
                  <wp:wrapTopAndBottom/>
                  <wp:docPr id="3" name="Picture 2" descr="Boab Health Services Colour logo with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ab Health Services Colour logo with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50" t="13101" r="10979" b="9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6AA3" w:rsidRDefault="00B60B3E" w:rsidP="00586AA3">
            <w:pPr>
              <w:tabs>
                <w:tab w:val="left" w:pos="480"/>
                <w:tab w:val="center" w:pos="264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Diabetes Educator</w:t>
            </w:r>
            <w:r w:rsidR="00586AA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56B00" w:rsidRDefault="00E710D4" w:rsidP="00056B00">
            <w:pPr>
              <w:tabs>
                <w:tab w:val="left" w:pos="480"/>
                <w:tab w:val="center" w:pos="264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Unique and Exciting Opportunity</w:t>
            </w:r>
          </w:p>
          <w:p w:rsidR="00E710D4" w:rsidRDefault="00586AA3" w:rsidP="00056B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Kununurra</w:t>
            </w:r>
            <w:r w:rsidR="00E710D4">
              <w:rPr>
                <w:rFonts w:ascii="Century Gothic" w:hAnsi="Century Gothic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East</w:t>
            </w:r>
            <w:r w:rsidR="00E710D4">
              <w:rPr>
                <w:rFonts w:ascii="Century Gothic" w:hAnsi="Century Gothic"/>
                <w:b/>
                <w:sz w:val="20"/>
                <w:szCs w:val="20"/>
              </w:rPr>
              <w:t xml:space="preserve"> Kimberley</w:t>
            </w:r>
          </w:p>
          <w:p w:rsidR="009C78F5" w:rsidRDefault="00D94316" w:rsidP="00056B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1FTE </w:t>
            </w:r>
          </w:p>
          <w:p w:rsidR="00E710D4" w:rsidRDefault="00E710D4" w:rsidP="00E84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($</w:t>
            </w:r>
            <w:r w:rsidR="00502048">
              <w:rPr>
                <w:rFonts w:ascii="Century Gothic" w:hAnsi="Century Gothic"/>
                <w:b/>
                <w:sz w:val="20"/>
                <w:szCs w:val="20"/>
              </w:rPr>
              <w:t>93,867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$</w:t>
            </w:r>
            <w:r w:rsidR="0050204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E8437A">
              <w:rPr>
                <w:rFonts w:ascii="Century Gothic" w:hAnsi="Century Gothic"/>
                <w:b/>
                <w:sz w:val="20"/>
                <w:szCs w:val="20"/>
              </w:rPr>
              <w:t>0,907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E710D4" w:rsidRPr="00B01096" w:rsidRDefault="00E710D4" w:rsidP="00056B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710D4" w:rsidRPr="00927193" w:rsidRDefault="00B60B3E" w:rsidP="00ED15C4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exciting opportunity exists for an </w:t>
            </w:r>
            <w:r w:rsidRPr="00E710D4">
              <w:rPr>
                <w:rFonts w:ascii="Century Gothic" w:hAnsi="Century Gothic"/>
                <w:b/>
                <w:sz w:val="20"/>
                <w:szCs w:val="20"/>
              </w:rPr>
              <w:t xml:space="preserve">experienced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Diabetes Educator to join the Allied Health Team. The role involves the delivery of clinical services and education sessions to staff and communities within the </w:t>
            </w:r>
            <w:r w:rsidR="00ED15C4">
              <w:rPr>
                <w:rFonts w:ascii="Century Gothic" w:hAnsi="Century Gothic"/>
                <w:sz w:val="20"/>
                <w:szCs w:val="20"/>
              </w:rPr>
              <w:t>East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Kimberley.</w:t>
            </w:r>
            <w:r w:rsidR="00E710D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B60B3E" w:rsidRPr="00B01096" w:rsidRDefault="00B60B3E" w:rsidP="00D303C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710D4" w:rsidRPr="00927193" w:rsidRDefault="00E710D4" w:rsidP="00E710D4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27193">
              <w:rPr>
                <w:rFonts w:ascii="Century Gothic" w:hAnsi="Century Gothic"/>
                <w:sz w:val="20"/>
                <w:szCs w:val="20"/>
              </w:rPr>
              <w:t xml:space="preserve">This position is based in </w:t>
            </w:r>
            <w:r w:rsidR="00586AA3">
              <w:rPr>
                <w:rFonts w:ascii="Century Gothic" w:hAnsi="Century Gothic"/>
                <w:sz w:val="20"/>
                <w:szCs w:val="20"/>
              </w:rPr>
              <w:t>Kununurra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Pr="00927193">
              <w:rPr>
                <w:rFonts w:ascii="Century Gothic" w:hAnsi="Century Gothic"/>
                <w:sz w:val="20"/>
                <w:szCs w:val="20"/>
              </w:rPr>
              <w:t>n the north</w:t>
            </w:r>
            <w:r w:rsidR="00586AA3">
              <w:rPr>
                <w:rFonts w:ascii="Century Gothic" w:hAnsi="Century Gothic"/>
                <w:sz w:val="20"/>
                <w:szCs w:val="20"/>
              </w:rPr>
              <w:t>east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 of Western Australia and provides 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Diabetes Educator 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service to towns and remote Aboriginal communities in the </w:t>
            </w:r>
            <w:r w:rsidR="00C0734C">
              <w:rPr>
                <w:rFonts w:ascii="Century Gothic" w:hAnsi="Century Gothic"/>
                <w:sz w:val="20"/>
                <w:szCs w:val="20"/>
              </w:rPr>
              <w:t>East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Kimberley region. The position works in partnership with local Aboriginal Health Services, WA State Health Services and other community based organisations. </w:t>
            </w:r>
          </w:p>
          <w:p w:rsidR="00E710D4" w:rsidRPr="00B01096" w:rsidRDefault="00E710D4" w:rsidP="00E710D4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710D4" w:rsidRDefault="00E710D4" w:rsidP="00E710D4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27193">
              <w:rPr>
                <w:rFonts w:ascii="Century Gothic" w:hAnsi="Century Gothic"/>
                <w:sz w:val="20"/>
                <w:szCs w:val="20"/>
              </w:rPr>
              <w:t>Your experience in 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abetes Education 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across </w:t>
            </w:r>
            <w:r w:rsidR="00C0734C">
              <w:rPr>
                <w:rFonts w:ascii="Century Gothic" w:hAnsi="Century Gothic"/>
                <w:sz w:val="20"/>
                <w:szCs w:val="20"/>
              </w:rPr>
              <w:t>a variety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health</w:t>
            </w:r>
            <w:r w:rsidR="00C0734C">
              <w:rPr>
                <w:rFonts w:ascii="Century Gothic" w:hAnsi="Century Gothic"/>
                <w:sz w:val="20"/>
                <w:szCs w:val="20"/>
              </w:rPr>
              <w:t xml:space="preserve"> care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settings will be highly </w:t>
            </w:r>
            <w:r w:rsidR="00C0734C">
              <w:rPr>
                <w:rFonts w:ascii="Century Gothic" w:hAnsi="Century Gothic"/>
                <w:sz w:val="20"/>
                <w:szCs w:val="20"/>
              </w:rPr>
              <w:t>regarded</w:t>
            </w:r>
            <w:r w:rsidRPr="00927193">
              <w:rPr>
                <w:rFonts w:ascii="Century Gothic" w:hAnsi="Century Gothic"/>
                <w:sz w:val="20"/>
                <w:szCs w:val="20"/>
              </w:rPr>
              <w:t>, as will your passion, energy and enthusiasm towards Aboriginal health, rural health and preventative health</w:t>
            </w:r>
            <w:r w:rsidR="00C0734C">
              <w:rPr>
                <w:rFonts w:ascii="Century Gothic" w:hAnsi="Century Gothic"/>
                <w:sz w:val="20"/>
                <w:szCs w:val="20"/>
              </w:rPr>
              <w:t xml:space="preserve"> care</w:t>
            </w:r>
            <w:r w:rsidRPr="0092719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E710D4" w:rsidRPr="00B01096" w:rsidRDefault="00E710D4" w:rsidP="00E710D4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710D4" w:rsidRPr="00E710D4" w:rsidRDefault="00E710D4" w:rsidP="00EA73A6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853F1">
              <w:rPr>
                <w:rFonts w:ascii="Century Gothic" w:hAnsi="Century Gothic"/>
                <w:sz w:val="20"/>
                <w:szCs w:val="20"/>
              </w:rPr>
              <w:t>Applicants must have</w:t>
            </w:r>
            <w:r w:rsidR="00EA73A6" w:rsidRPr="005853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10D4">
              <w:rPr>
                <w:rFonts w:ascii="Century Gothic" w:hAnsi="Century Gothic"/>
                <w:sz w:val="20"/>
                <w:szCs w:val="20"/>
              </w:rPr>
              <w:t>appropriate professional registration</w:t>
            </w:r>
            <w:r w:rsidR="00BD51E3">
              <w:rPr>
                <w:rFonts w:ascii="Century Gothic" w:hAnsi="Century Gothic"/>
                <w:sz w:val="20"/>
                <w:szCs w:val="20"/>
              </w:rPr>
              <w:t>,</w:t>
            </w:r>
            <w:r w:rsidR="00502048">
              <w:rPr>
                <w:rFonts w:ascii="Century Gothic" w:hAnsi="Century Gothic"/>
                <w:sz w:val="20"/>
                <w:szCs w:val="20"/>
              </w:rPr>
              <w:t xml:space="preserve"> a post graduate qualification in Diabetes Education and be credentialed or working towards credentialing with ADEA.  </w:t>
            </w:r>
          </w:p>
          <w:p w:rsidR="005853F1" w:rsidRDefault="005853F1" w:rsidP="00E710D4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710D4" w:rsidRPr="00E710D4" w:rsidRDefault="00E710D4" w:rsidP="00E710D4">
            <w:pPr>
              <w:pStyle w:val="Defaul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10D4">
              <w:rPr>
                <w:rFonts w:ascii="Century Gothic" w:hAnsi="Century Gothic"/>
                <w:b/>
                <w:sz w:val="20"/>
                <w:szCs w:val="20"/>
              </w:rPr>
              <w:t>Benefits include:</w:t>
            </w:r>
          </w:p>
          <w:p w:rsidR="00E710D4" w:rsidRDefault="00E710D4" w:rsidP="00E710D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Relocation assistance (where applicable)</w:t>
            </w:r>
          </w:p>
          <w:p w:rsidR="00E710D4" w:rsidRDefault="00E710D4" w:rsidP="00E710D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Salary packaging</w:t>
            </w:r>
            <w:r w:rsidR="00E8437A">
              <w:rPr>
                <w:rFonts w:ascii="Century Gothic" w:hAnsi="Century Gothic"/>
                <w:sz w:val="20"/>
                <w:szCs w:val="20"/>
              </w:rPr>
              <w:t>, including benefits for remote living</w:t>
            </w:r>
          </w:p>
          <w:p w:rsidR="00E710D4" w:rsidRDefault="00E710D4" w:rsidP="00E710D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development opportunities</w:t>
            </w:r>
          </w:p>
          <w:p w:rsidR="004E6E80" w:rsidRPr="00927193" w:rsidRDefault="00C0734C" w:rsidP="00E710D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4E6E80">
              <w:rPr>
                <w:rFonts w:ascii="Century Gothic" w:hAnsi="Century Gothic"/>
                <w:sz w:val="20"/>
                <w:szCs w:val="20"/>
              </w:rPr>
              <w:t xml:space="preserve"> weeks annual leave </w:t>
            </w:r>
          </w:p>
          <w:p w:rsidR="00E710D4" w:rsidRPr="00B01096" w:rsidRDefault="00E710D4" w:rsidP="00E71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01096" w:rsidRDefault="00B01096" w:rsidP="00B010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Interested applicants should phone: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2048">
              <w:rPr>
                <w:rFonts w:ascii="Century Gothic" w:hAnsi="Century Gothic"/>
                <w:sz w:val="20"/>
                <w:szCs w:val="20"/>
              </w:rPr>
              <w:t>Robyn Powell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(Allied Health Manager) on (08) 9192 7888 or mobile – 0417 237 097.</w:t>
            </w:r>
          </w:p>
          <w:p w:rsidR="00B01096" w:rsidRDefault="00B01096" w:rsidP="00B0109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096" w:rsidRDefault="00B01096" w:rsidP="00B0109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 further information and position description please access Boab’s website at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www.boabhealth.com.au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go to the “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Positions Vacant” webpage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840C7" w:rsidRDefault="00A840C7" w:rsidP="00B0109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40C7" w:rsidRDefault="00A840C7" w:rsidP="00A840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Applications </w:t>
            </w:r>
            <w:r w:rsidRPr="00C134C3">
              <w:rPr>
                <w:rFonts w:ascii="Century Gothic" w:hAnsi="Century Gothic"/>
                <w:b/>
                <w:sz w:val="20"/>
                <w:szCs w:val="20"/>
                <w:u w:val="single"/>
              </w:rPr>
              <w:t>must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address the selection criteria </w:t>
            </w:r>
            <w:r w:rsidRPr="00CE4473">
              <w:rPr>
                <w:rFonts w:ascii="Century Gothic" w:hAnsi="Century Gothic"/>
                <w:sz w:val="20"/>
                <w:szCs w:val="20"/>
              </w:rPr>
              <w:t xml:space="preserve">(located within the position description)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email this </w:t>
            </w:r>
            <w:r w:rsidRPr="00CE4473">
              <w:rPr>
                <w:rFonts w:ascii="Century Gothic" w:hAnsi="Century Gothic"/>
                <w:sz w:val="20"/>
                <w:szCs w:val="20"/>
              </w:rPr>
              <w:t xml:space="preserve">together with their </w:t>
            </w:r>
            <w:r w:rsidRPr="00CE4473">
              <w:rPr>
                <w:rFonts w:ascii="Century Gothic" w:hAnsi="Century Gothic"/>
                <w:b/>
                <w:sz w:val="20"/>
                <w:szCs w:val="20"/>
              </w:rPr>
              <w:t>resume</w:t>
            </w:r>
            <w:r w:rsidRPr="00CE4473">
              <w:rPr>
                <w:rFonts w:ascii="Century Gothic" w:hAnsi="Century Gothic"/>
                <w:sz w:val="20"/>
                <w:szCs w:val="20"/>
              </w:rPr>
              <w:t xml:space="preserve"> and the 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CE4473">
              <w:rPr>
                <w:rFonts w:ascii="Century Gothic" w:hAnsi="Century Gothic"/>
                <w:sz w:val="20"/>
                <w:szCs w:val="20"/>
              </w:rPr>
              <w:t xml:space="preserve">ames of a least </w:t>
            </w:r>
            <w:r w:rsidRPr="00CE4473">
              <w:rPr>
                <w:rFonts w:ascii="Century Gothic" w:hAnsi="Century Gothic"/>
                <w:b/>
                <w:sz w:val="20"/>
                <w:szCs w:val="20"/>
              </w:rPr>
              <w:t>two referees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to:</w:t>
            </w:r>
          </w:p>
          <w:p w:rsidR="00A840C7" w:rsidRDefault="001C7505" w:rsidP="00A840C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C78F5" w:rsidRPr="004B46C0">
                <w:rPr>
                  <w:rStyle w:val="Hyperlink"/>
                  <w:rFonts w:ascii="Century Gothic" w:hAnsi="Century Gothic"/>
                  <w:sz w:val="20"/>
                  <w:szCs w:val="20"/>
                </w:rPr>
                <w:t>chris.phillips@boabhealth.com.au</w:t>
              </w:r>
            </w:hyperlink>
            <w:r w:rsidR="00A840C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B01096" w:rsidRPr="00B01096" w:rsidRDefault="00B01096" w:rsidP="00B0109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01096" w:rsidRDefault="00B01096" w:rsidP="00E84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Applications close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Close of Business Monday the </w:t>
            </w:r>
            <w:r w:rsidR="00E8437A"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9C78F5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E8437A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E8437A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:rsidR="00B01096" w:rsidRPr="00B01096" w:rsidRDefault="00B01096" w:rsidP="00B01096">
            <w:pPr>
              <w:ind w:left="36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B60B3E" w:rsidRDefault="00B60B3E" w:rsidP="0047501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Boab Health Services is an Equal Opportunity Employer who values and encourages diversity within its workforce </w:t>
            </w:r>
          </w:p>
        </w:tc>
      </w:tr>
    </w:tbl>
    <w:p w:rsidR="00B97073" w:rsidRDefault="00B60B3E" w:rsidP="00475017">
      <w:pPr>
        <w:ind w:right="1917"/>
      </w:pPr>
      <w:r>
        <w:br w:type="textWrapping" w:clear="all"/>
      </w:r>
    </w:p>
    <w:sectPr w:rsidR="00B97073" w:rsidSect="00B9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599"/>
    <w:multiLevelType w:val="hybridMultilevel"/>
    <w:tmpl w:val="C7FCC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7158"/>
    <w:multiLevelType w:val="hybridMultilevel"/>
    <w:tmpl w:val="8F84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A59"/>
    <w:multiLevelType w:val="hybridMultilevel"/>
    <w:tmpl w:val="54C0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056B00"/>
    <w:rsid w:val="000941BD"/>
    <w:rsid w:val="000A16AC"/>
    <w:rsid w:val="000B1699"/>
    <w:rsid w:val="000E2376"/>
    <w:rsid w:val="00106FF4"/>
    <w:rsid w:val="00137959"/>
    <w:rsid w:val="001539B8"/>
    <w:rsid w:val="001C7505"/>
    <w:rsid w:val="002261A1"/>
    <w:rsid w:val="0026083D"/>
    <w:rsid w:val="003323DE"/>
    <w:rsid w:val="003B1E0B"/>
    <w:rsid w:val="003C6179"/>
    <w:rsid w:val="0042474D"/>
    <w:rsid w:val="00475017"/>
    <w:rsid w:val="004B0C74"/>
    <w:rsid w:val="004E190E"/>
    <w:rsid w:val="004E6E80"/>
    <w:rsid w:val="00502048"/>
    <w:rsid w:val="00507551"/>
    <w:rsid w:val="005853F1"/>
    <w:rsid w:val="00586AA3"/>
    <w:rsid w:val="005B3EA2"/>
    <w:rsid w:val="005D3258"/>
    <w:rsid w:val="005F2EB8"/>
    <w:rsid w:val="006323CD"/>
    <w:rsid w:val="00636367"/>
    <w:rsid w:val="00666548"/>
    <w:rsid w:val="006775A9"/>
    <w:rsid w:val="006F7E05"/>
    <w:rsid w:val="00744DDF"/>
    <w:rsid w:val="007E7D4B"/>
    <w:rsid w:val="008C1054"/>
    <w:rsid w:val="009C78F5"/>
    <w:rsid w:val="00A840C7"/>
    <w:rsid w:val="00AF6DC5"/>
    <w:rsid w:val="00B01096"/>
    <w:rsid w:val="00B60B3E"/>
    <w:rsid w:val="00B97073"/>
    <w:rsid w:val="00BB6E37"/>
    <w:rsid w:val="00BD51E3"/>
    <w:rsid w:val="00BF36DC"/>
    <w:rsid w:val="00C0734C"/>
    <w:rsid w:val="00D303C1"/>
    <w:rsid w:val="00D41E4C"/>
    <w:rsid w:val="00D7425D"/>
    <w:rsid w:val="00D912F1"/>
    <w:rsid w:val="00D94316"/>
    <w:rsid w:val="00E710D4"/>
    <w:rsid w:val="00E8437A"/>
    <w:rsid w:val="00EA73A6"/>
    <w:rsid w:val="00ED15C4"/>
    <w:rsid w:val="00F43E47"/>
    <w:rsid w:val="00F704D8"/>
    <w:rsid w:val="00F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36DBF-EBDD-4274-B45C-1B7A61B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0B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710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E710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phillips@boabhealth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b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Donna Brindley</cp:lastModifiedBy>
  <cp:revision>2</cp:revision>
  <cp:lastPrinted>2016-06-23T06:19:00Z</cp:lastPrinted>
  <dcterms:created xsi:type="dcterms:W3CDTF">2018-02-16T00:37:00Z</dcterms:created>
  <dcterms:modified xsi:type="dcterms:W3CDTF">2018-02-16T00:37:00Z</dcterms:modified>
</cp:coreProperties>
</file>